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E434" w14:textId="77777777" w:rsidR="00966542" w:rsidRDefault="005752A3">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703255D7" wp14:editId="56140EAB">
            <wp:simplePos x="0" y="0"/>
            <wp:positionH relativeFrom="column">
              <wp:posOffset>4724400</wp:posOffset>
            </wp:positionH>
            <wp:positionV relativeFrom="paragraph">
              <wp:posOffset>-126999</wp:posOffset>
            </wp:positionV>
            <wp:extent cx="874395" cy="869950"/>
            <wp:effectExtent l="0" t="0" r="0" b="0"/>
            <wp:wrapSquare wrapText="bothSides" distT="0" distB="0" distL="0" distR="0"/>
            <wp:docPr id="1" name="image1.jpg" descr="ASG Logo.jpg"/>
            <wp:cNvGraphicFramePr/>
            <a:graphic xmlns:a="http://schemas.openxmlformats.org/drawingml/2006/main">
              <a:graphicData uri="http://schemas.openxmlformats.org/drawingml/2006/picture">
                <pic:pic xmlns:pic="http://schemas.openxmlformats.org/drawingml/2006/picture">
                  <pic:nvPicPr>
                    <pic:cNvPr id="0" name="image1.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4F7C5510" w14:textId="77777777" w:rsidR="00966542" w:rsidRDefault="005752A3">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6FD82D29" w14:textId="77777777" w:rsidR="00966542" w:rsidRDefault="00966542">
      <w:pPr>
        <w:spacing w:after="0" w:line="240" w:lineRule="auto"/>
        <w:rPr>
          <w:rFonts w:ascii="Georgia" w:eastAsia="Georgia" w:hAnsi="Georgia" w:cs="Georgia"/>
          <w:sz w:val="24"/>
          <w:szCs w:val="24"/>
        </w:rPr>
      </w:pPr>
    </w:p>
    <w:p w14:paraId="534982BE" w14:textId="77777777" w:rsidR="00966542" w:rsidRDefault="0053267D">
      <w:pPr>
        <w:spacing w:after="0" w:line="240" w:lineRule="auto"/>
        <w:rPr>
          <w:rFonts w:ascii="Georgia" w:eastAsia="Georgia" w:hAnsi="Georgia" w:cs="Georgia"/>
          <w:i/>
          <w:sz w:val="24"/>
          <w:szCs w:val="24"/>
        </w:rPr>
      </w:pPr>
      <w:r>
        <w:rPr>
          <w:rFonts w:ascii="Georgia" w:eastAsia="Georgia" w:hAnsi="Georgia" w:cs="Georgia"/>
          <w:i/>
          <w:sz w:val="24"/>
          <w:szCs w:val="24"/>
        </w:rPr>
        <w:t>ASG Senate Resolution No. 19</w:t>
      </w:r>
    </w:p>
    <w:p w14:paraId="46298ECF" w14:textId="77777777" w:rsidR="00966542" w:rsidRDefault="005752A3">
      <w:pPr>
        <w:spacing w:after="0" w:line="240" w:lineRule="auto"/>
        <w:rPr>
          <w:rFonts w:ascii="Georgia" w:eastAsia="Georgia" w:hAnsi="Georgia" w:cs="Georgia"/>
          <w:sz w:val="24"/>
          <w:szCs w:val="24"/>
        </w:rPr>
      </w:pPr>
      <w:r>
        <w:rPr>
          <w:rFonts w:ascii="Georgia" w:eastAsia="Georgia" w:hAnsi="Georgia" w:cs="Georgia"/>
          <w:sz w:val="24"/>
          <w:szCs w:val="24"/>
        </w:rPr>
        <w:t>Author(s): Senator Lizeth Martinez, Senator Gabriela Gifford, Senator Kate Sego, Senator Kevin Tran</w:t>
      </w:r>
    </w:p>
    <w:p w14:paraId="43588898" w14:textId="77777777" w:rsidR="00966542" w:rsidRDefault="005752A3">
      <w:pPr>
        <w:spacing w:after="0" w:line="240" w:lineRule="auto"/>
        <w:ind w:left="1260" w:hanging="1260"/>
        <w:rPr>
          <w:rFonts w:ascii="Georgia" w:eastAsia="Georgia" w:hAnsi="Georgia" w:cs="Georgia"/>
          <w:sz w:val="24"/>
          <w:szCs w:val="24"/>
        </w:rPr>
      </w:pPr>
      <w:r>
        <w:rPr>
          <w:rFonts w:ascii="Georgia" w:eastAsia="Georgia" w:hAnsi="Georgia" w:cs="Georgia"/>
          <w:sz w:val="24"/>
          <w:szCs w:val="24"/>
        </w:rPr>
        <w:t xml:space="preserve">Sponsor(s): Senator Cassidy Cook, Senator Daniel Webster, Senator Kianna Sarvestani </w:t>
      </w:r>
    </w:p>
    <w:p w14:paraId="367D108D" w14:textId="77777777" w:rsidR="00966542" w:rsidRDefault="00966542">
      <w:pPr>
        <w:spacing w:after="0" w:line="240" w:lineRule="auto"/>
        <w:rPr>
          <w:rFonts w:ascii="Georgia" w:eastAsia="Georgia" w:hAnsi="Georgia" w:cs="Georgia"/>
          <w:b/>
          <w:sz w:val="24"/>
          <w:szCs w:val="24"/>
        </w:rPr>
      </w:pPr>
    </w:p>
    <w:p w14:paraId="76F0C92F" w14:textId="77777777" w:rsidR="00966542" w:rsidRDefault="005752A3">
      <w:pPr>
        <w:spacing w:after="0"/>
        <w:jc w:val="center"/>
        <w:rPr>
          <w:rFonts w:ascii="Georgia" w:eastAsia="Georgia" w:hAnsi="Georgia" w:cs="Georgia"/>
          <w:b/>
          <w:sz w:val="24"/>
          <w:szCs w:val="24"/>
        </w:rPr>
      </w:pPr>
      <w:r>
        <w:rPr>
          <w:rFonts w:ascii="Georgia" w:eastAsia="Georgia" w:hAnsi="Georgia" w:cs="Georgia"/>
          <w:b/>
          <w:sz w:val="24"/>
          <w:szCs w:val="24"/>
        </w:rPr>
        <w:t xml:space="preserve">A Resolution to Support </w:t>
      </w:r>
      <w:proofErr w:type="gramStart"/>
      <w:r>
        <w:rPr>
          <w:rFonts w:ascii="Georgia" w:eastAsia="Georgia" w:hAnsi="Georgia" w:cs="Georgia"/>
          <w:b/>
          <w:sz w:val="24"/>
          <w:szCs w:val="24"/>
        </w:rPr>
        <w:t>The</w:t>
      </w:r>
      <w:proofErr w:type="gramEnd"/>
      <w:r>
        <w:rPr>
          <w:rFonts w:ascii="Georgia" w:eastAsia="Georgia" w:hAnsi="Georgia" w:cs="Georgia"/>
          <w:b/>
          <w:sz w:val="24"/>
          <w:szCs w:val="24"/>
        </w:rPr>
        <w:t xml:space="preserve"> Implementation of A New Student Orientation Geared Towards Spanish-Speaking Heritages</w:t>
      </w:r>
    </w:p>
    <w:p w14:paraId="0E6319B9" w14:textId="77777777" w:rsidR="00966542" w:rsidRDefault="00966542">
      <w:pPr>
        <w:spacing w:after="0"/>
        <w:jc w:val="center"/>
        <w:rPr>
          <w:rFonts w:ascii="Georgia" w:eastAsia="Georgia" w:hAnsi="Georgia" w:cs="Georgia"/>
          <w:sz w:val="24"/>
          <w:szCs w:val="24"/>
        </w:rPr>
      </w:pPr>
    </w:p>
    <w:p w14:paraId="0ADE7540" w14:textId="77777777" w:rsidR="00966542" w:rsidRDefault="005752A3">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University of Arkansas Admissions Department annually hosts roughly twenty New Student Orientation sessions in English for new and transfer students during the summer, prior to their enrollment starting in August. There are three types of orientations offered: Honors two day, Traditional two day, and Traditional 1 day; and</w:t>
      </w:r>
    </w:p>
    <w:p w14:paraId="1344BDB8" w14:textId="77777777" w:rsidR="00966542" w:rsidRDefault="00966542">
      <w:pPr>
        <w:spacing w:after="0"/>
        <w:ind w:left="2160" w:hanging="2160"/>
        <w:rPr>
          <w:rFonts w:ascii="Georgia" w:eastAsia="Georgia" w:hAnsi="Georgia" w:cs="Georgia"/>
          <w:sz w:val="24"/>
          <w:szCs w:val="24"/>
        </w:rPr>
      </w:pPr>
    </w:p>
    <w:p w14:paraId="4F2EE86D" w14:textId="77777777" w:rsidR="00966542" w:rsidRDefault="005752A3">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purpose of New Student Orientation according to the University of Arkansas Admissions, is to allow students and their families to explore new ideas and concepts and learn how to stay involved. In addition to meeting with your advisor and choosing your first schedule of classes, New Student Orientation attendees will learn information about financial aid, campus activities, student life, and university history; and</w:t>
      </w:r>
    </w:p>
    <w:p w14:paraId="55977A5C" w14:textId="77777777" w:rsidR="00966542" w:rsidRDefault="005752A3">
      <w:pPr>
        <w:spacing w:after="0"/>
        <w:rPr>
          <w:rFonts w:ascii="Georgia" w:eastAsia="Georgia" w:hAnsi="Georgia" w:cs="Georgia"/>
          <w:sz w:val="24"/>
          <w:szCs w:val="24"/>
        </w:rPr>
      </w:pPr>
      <w:r>
        <w:rPr>
          <w:rFonts w:ascii="Georgia" w:eastAsia="Georgia" w:hAnsi="Georgia" w:cs="Georgia"/>
          <w:sz w:val="24"/>
          <w:szCs w:val="24"/>
        </w:rPr>
        <w:t xml:space="preserve"> </w:t>
      </w:r>
    </w:p>
    <w:p w14:paraId="2F3DF051" w14:textId="77777777" w:rsidR="00966542" w:rsidRDefault="005752A3">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At New Student Orientation, there are a variety of “break out” sessions that include HOGS Abroad, Home </w:t>
      </w:r>
      <w:proofErr w:type="spellStart"/>
      <w:r>
        <w:rPr>
          <w:rFonts w:ascii="Georgia" w:eastAsia="Georgia" w:hAnsi="Georgia" w:cs="Georgia"/>
          <w:sz w:val="24"/>
          <w:szCs w:val="24"/>
        </w:rPr>
        <w:t>Suite</w:t>
      </w:r>
      <w:proofErr w:type="spellEnd"/>
      <w:r>
        <w:rPr>
          <w:rFonts w:ascii="Georgia" w:eastAsia="Georgia" w:hAnsi="Georgia" w:cs="Georgia"/>
          <w:sz w:val="24"/>
          <w:szCs w:val="24"/>
        </w:rPr>
        <w:t xml:space="preserve"> Home, It’s Greek to Me, and Money Matters: Treasurer’s Office. These “break out” sessions provide vital information about topics regarding the University of Arkansas; and</w:t>
      </w:r>
    </w:p>
    <w:p w14:paraId="7639258B" w14:textId="77777777" w:rsidR="00966542" w:rsidRDefault="00966542">
      <w:pPr>
        <w:spacing w:after="0"/>
        <w:ind w:left="3600" w:hanging="3600"/>
        <w:rPr>
          <w:rFonts w:ascii="Georgia" w:eastAsia="Georgia" w:hAnsi="Georgia" w:cs="Georgia"/>
          <w:sz w:val="24"/>
          <w:szCs w:val="24"/>
        </w:rPr>
      </w:pPr>
    </w:p>
    <w:p w14:paraId="096248B3" w14:textId="77777777" w:rsidR="00966542" w:rsidRDefault="005752A3">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Currently, all New Student Orientation Sessions are held only in English. There are approximately 27,778 students enrolled at the University of Arkansas as of Fall 2018, and there are about </w:t>
      </w:r>
      <w:r>
        <w:rPr>
          <w:rFonts w:ascii="Georgia" w:eastAsia="Georgia" w:hAnsi="Georgia" w:cs="Georgia"/>
          <w:sz w:val="24"/>
          <w:szCs w:val="24"/>
          <w:highlight w:val="white"/>
        </w:rPr>
        <w:t xml:space="preserve">2,076 Hispanic undergraduates. This is nearly 10% of the student body and approximately 500 </w:t>
      </w:r>
      <w:proofErr w:type="spellStart"/>
      <w:r>
        <w:rPr>
          <w:rFonts w:ascii="Georgia" w:eastAsia="Georgia" w:hAnsi="Georgia" w:cs="Georgia"/>
          <w:sz w:val="24"/>
          <w:szCs w:val="24"/>
          <w:highlight w:val="white"/>
        </w:rPr>
        <w:t>Latinx</w:t>
      </w:r>
      <w:proofErr w:type="spellEnd"/>
      <w:r>
        <w:rPr>
          <w:rFonts w:ascii="Georgia" w:eastAsia="Georgia" w:hAnsi="Georgia" w:cs="Georgia"/>
          <w:sz w:val="24"/>
          <w:szCs w:val="24"/>
          <w:highlight w:val="white"/>
        </w:rPr>
        <w:t xml:space="preserve"> students in each class</w:t>
      </w:r>
      <w:r>
        <w:rPr>
          <w:rFonts w:ascii="Georgia" w:eastAsia="Georgia" w:hAnsi="Georgia" w:cs="Georgia"/>
          <w:sz w:val="24"/>
          <w:szCs w:val="24"/>
        </w:rPr>
        <w:t>; and</w:t>
      </w:r>
    </w:p>
    <w:p w14:paraId="1A8BB09B" w14:textId="77777777" w:rsidR="00966542" w:rsidRDefault="00966542">
      <w:pPr>
        <w:tabs>
          <w:tab w:val="left" w:pos="3420"/>
        </w:tabs>
        <w:spacing w:after="0"/>
        <w:ind w:left="2160" w:hanging="2160"/>
        <w:rPr>
          <w:rFonts w:ascii="Georgia" w:eastAsia="Georgia" w:hAnsi="Georgia" w:cs="Georgia"/>
          <w:sz w:val="24"/>
          <w:szCs w:val="24"/>
        </w:rPr>
      </w:pPr>
    </w:p>
    <w:p w14:paraId="7C02D8E9" w14:textId="77777777" w:rsidR="00966542" w:rsidRDefault="005752A3">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lastRenderedPageBreak/>
        <w:t>Whereas,</w:t>
      </w:r>
      <w:r>
        <w:rPr>
          <w:rFonts w:ascii="Georgia" w:eastAsia="Georgia" w:hAnsi="Georgia" w:cs="Georgia"/>
          <w:sz w:val="24"/>
          <w:szCs w:val="24"/>
        </w:rPr>
        <w:tab/>
        <w:t>As a University, it is necessary to allow adequate presentation efforts so that all future students that come to New Student Orientation are able to comprehend the information. The University of Florida, one of our benchmark institutions, offers handout information in Spanish to ensure this necessity; and</w:t>
      </w:r>
    </w:p>
    <w:p w14:paraId="1448621A" w14:textId="77777777" w:rsidR="00966542" w:rsidRDefault="00966542">
      <w:pPr>
        <w:tabs>
          <w:tab w:val="left" w:pos="3420"/>
        </w:tabs>
        <w:spacing w:after="0"/>
        <w:ind w:left="2160" w:hanging="2160"/>
        <w:rPr>
          <w:rFonts w:ascii="Georgia" w:eastAsia="Georgia" w:hAnsi="Georgia" w:cs="Georgia"/>
          <w:sz w:val="24"/>
          <w:szCs w:val="24"/>
        </w:rPr>
      </w:pPr>
    </w:p>
    <w:p w14:paraId="37E831DF" w14:textId="77777777" w:rsidR="00966542" w:rsidRDefault="00966542">
      <w:pPr>
        <w:tabs>
          <w:tab w:val="left" w:pos="3420"/>
        </w:tabs>
        <w:spacing w:after="0"/>
        <w:ind w:left="2160" w:hanging="2160"/>
        <w:rPr>
          <w:rFonts w:ascii="Georgia" w:eastAsia="Georgia" w:hAnsi="Georgia" w:cs="Georgia"/>
          <w:sz w:val="24"/>
          <w:szCs w:val="24"/>
        </w:rPr>
      </w:pPr>
    </w:p>
    <w:p w14:paraId="61CE1B37" w14:textId="77777777" w:rsidR="00966542" w:rsidRDefault="005752A3">
      <w:pPr>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The Associated Student Government Senate supports New Student Orientation held by the University of Arkansas Office of Admissions to explore different opportunities of how to better develop New Student Orientation to allow Spanish-Speaking Heritages access to the same resources as other ethnicities and nationalities by offering orientation handout information, the New Student Orientation PowerPoint, and a question and answer “break out” session in Spanish; and</w:t>
      </w:r>
    </w:p>
    <w:p w14:paraId="3AF6F9B4" w14:textId="77777777" w:rsidR="00966542" w:rsidRDefault="00966542">
      <w:pPr>
        <w:spacing w:after="0"/>
        <w:ind w:left="3600" w:hanging="3600"/>
        <w:rPr>
          <w:rFonts w:ascii="Georgia" w:eastAsia="Georgia" w:hAnsi="Georgia" w:cs="Georgia"/>
          <w:sz w:val="24"/>
          <w:szCs w:val="24"/>
        </w:rPr>
      </w:pPr>
    </w:p>
    <w:p w14:paraId="2FD6375F" w14:textId="77777777" w:rsidR="00966542" w:rsidRDefault="005752A3">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The authors of this legislation work with the Office of New Student Orientation to expand the resources available at New Student Orientations and ensure that all students and parents have equal access to any necessary information prior to the first day of classes at the University of Arkansas; and</w:t>
      </w:r>
    </w:p>
    <w:p w14:paraId="48170E34" w14:textId="77777777" w:rsidR="00966542" w:rsidRDefault="00966542">
      <w:pPr>
        <w:spacing w:after="0"/>
        <w:ind w:left="3600" w:hanging="3600"/>
        <w:rPr>
          <w:rFonts w:ascii="Georgia" w:eastAsia="Georgia" w:hAnsi="Georgia" w:cs="Georgia"/>
          <w:sz w:val="24"/>
          <w:szCs w:val="24"/>
        </w:rPr>
      </w:pPr>
    </w:p>
    <w:p w14:paraId="3788C0CD" w14:textId="77777777" w:rsidR="00966542" w:rsidRDefault="005752A3">
      <w:pPr>
        <w:spacing w:after="0"/>
        <w:ind w:left="3600" w:hanging="3600"/>
        <w:rPr>
          <w:rFonts w:ascii="Georgia" w:eastAsia="Georgia" w:hAnsi="Georgia" w:cs="Georgia"/>
          <w:sz w:val="24"/>
          <w:szCs w:val="24"/>
          <w:highlight w:val="white"/>
        </w:rPr>
      </w:pPr>
      <w:r>
        <w:rPr>
          <w:rFonts w:ascii="Georgia" w:eastAsia="Georgia" w:hAnsi="Georgia" w:cs="Georgia"/>
          <w:sz w:val="24"/>
          <w:szCs w:val="24"/>
        </w:rPr>
        <w:t>Be it further resolved:</w:t>
      </w:r>
      <w:r>
        <w:rPr>
          <w:rFonts w:ascii="Georgia" w:eastAsia="Georgia" w:hAnsi="Georgia" w:cs="Georgia"/>
          <w:sz w:val="24"/>
          <w:szCs w:val="24"/>
        </w:rPr>
        <w:tab/>
        <w:t xml:space="preserve">A copy of this legislation be sent to Amber Roth, the </w:t>
      </w:r>
      <w:r>
        <w:rPr>
          <w:rFonts w:ascii="Georgia" w:eastAsia="Georgia" w:hAnsi="Georgia" w:cs="Georgia"/>
          <w:sz w:val="24"/>
          <w:szCs w:val="24"/>
          <w:highlight w:val="white"/>
        </w:rPr>
        <w:t>Senior Associate Director of New Student Orientation, and Dr. Murphy-</w:t>
      </w:r>
      <w:proofErr w:type="spellStart"/>
      <w:proofErr w:type="gramStart"/>
      <w:r>
        <w:rPr>
          <w:rFonts w:ascii="Georgia" w:eastAsia="Georgia" w:hAnsi="Georgia" w:cs="Georgia"/>
          <w:sz w:val="24"/>
          <w:szCs w:val="24"/>
          <w:highlight w:val="white"/>
        </w:rPr>
        <w:t>Erby</w:t>
      </w:r>
      <w:proofErr w:type="spellEnd"/>
      <w:r>
        <w:rPr>
          <w:rFonts w:ascii="Georgia" w:eastAsia="Georgia" w:hAnsi="Georgia" w:cs="Georgia"/>
          <w:sz w:val="24"/>
          <w:szCs w:val="24"/>
          <w:highlight w:val="white"/>
        </w:rPr>
        <w:t>,  the</w:t>
      </w:r>
      <w:proofErr w:type="gramEnd"/>
      <w:r>
        <w:rPr>
          <w:rFonts w:ascii="Georgia" w:eastAsia="Georgia" w:hAnsi="Georgia" w:cs="Georgia"/>
          <w:sz w:val="24"/>
          <w:szCs w:val="24"/>
          <w:highlight w:val="white"/>
        </w:rPr>
        <w:t xml:space="preserve"> Vice Chancellor of Diversity &amp; Inclusion.</w:t>
      </w:r>
    </w:p>
    <w:p w14:paraId="14593F22" w14:textId="77777777" w:rsidR="00966542" w:rsidRDefault="00966542">
      <w:pPr>
        <w:spacing w:after="0"/>
        <w:ind w:left="3600" w:hanging="3600"/>
        <w:rPr>
          <w:rFonts w:ascii="Georgia" w:eastAsia="Georgia" w:hAnsi="Georgia" w:cs="Georgia"/>
          <w:sz w:val="24"/>
          <w:szCs w:val="24"/>
          <w:highlight w:val="white"/>
        </w:rPr>
      </w:pPr>
    </w:p>
    <w:p w14:paraId="3ED7B9D8" w14:textId="77777777" w:rsidR="00966542" w:rsidRDefault="00966542">
      <w:pPr>
        <w:spacing w:after="0"/>
        <w:ind w:left="3600" w:hanging="3600"/>
        <w:rPr>
          <w:rFonts w:ascii="Georgia" w:eastAsia="Georgia" w:hAnsi="Georgia" w:cs="Georgia"/>
          <w:sz w:val="24"/>
          <w:szCs w:val="24"/>
          <w:highlight w:val="white"/>
        </w:rPr>
      </w:pPr>
    </w:p>
    <w:p w14:paraId="750159AC" w14:textId="77777777" w:rsidR="00966542" w:rsidRDefault="005752A3">
      <w:pPr>
        <w:spacing w:after="0"/>
        <w:ind w:left="3600" w:hanging="3600"/>
        <w:rPr>
          <w:rFonts w:ascii="Georgia" w:eastAsia="Georgia" w:hAnsi="Georgia" w:cs="Georgia"/>
          <w:i/>
          <w:sz w:val="24"/>
          <w:szCs w:val="24"/>
        </w:rPr>
      </w:pPr>
      <w:r>
        <w:rPr>
          <w:rFonts w:ascii="Georgia" w:eastAsia="Georgia" w:hAnsi="Georgia" w:cs="Georgia"/>
          <w:i/>
          <w:sz w:val="24"/>
          <w:szCs w:val="24"/>
        </w:rPr>
        <w:t>Official Use Only</w:t>
      </w:r>
    </w:p>
    <w:p w14:paraId="4FDA2341" w14:textId="77777777" w:rsidR="00966542" w:rsidRDefault="00966542">
      <w:pPr>
        <w:spacing w:after="0"/>
        <w:rPr>
          <w:rFonts w:ascii="Georgia" w:eastAsia="Georgia" w:hAnsi="Georgia" w:cs="Georgia"/>
          <w:sz w:val="24"/>
          <w:szCs w:val="24"/>
        </w:rPr>
      </w:pPr>
    </w:p>
    <w:p w14:paraId="7E87538B" w14:textId="77777777" w:rsidR="00966542" w:rsidRDefault="005752A3">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289D0105" w14:textId="77777777" w:rsidR="00966542" w:rsidRDefault="00966542">
      <w:pPr>
        <w:spacing w:after="0"/>
        <w:rPr>
          <w:rFonts w:ascii="Georgia" w:eastAsia="Georgia" w:hAnsi="Georgia" w:cs="Georgia"/>
          <w:sz w:val="24"/>
          <w:szCs w:val="24"/>
        </w:rPr>
      </w:pPr>
    </w:p>
    <w:p w14:paraId="2A3CEAAB" w14:textId="48BCAC07" w:rsidR="00966542" w:rsidRDefault="005752A3">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523085">
        <w:rPr>
          <w:rFonts w:ascii="Georgia" w:eastAsia="Georgia" w:hAnsi="Georgia" w:cs="Georgia"/>
          <w:sz w:val="24"/>
          <w:szCs w:val="24"/>
          <w:u w:val="single"/>
        </w:rPr>
        <w:t>44</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523085">
        <w:rPr>
          <w:rFonts w:ascii="Georgia" w:eastAsia="Georgia" w:hAnsi="Georgia" w:cs="Georgia"/>
          <w:sz w:val="24"/>
          <w:szCs w:val="24"/>
          <w:u w:val="single"/>
        </w:rPr>
        <w:t>1</w:t>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7E037164" w14:textId="77777777" w:rsidR="00966542" w:rsidRDefault="00966542">
      <w:pPr>
        <w:spacing w:after="0"/>
        <w:rPr>
          <w:rFonts w:ascii="Georgia" w:eastAsia="Georgia" w:hAnsi="Georgia" w:cs="Georgia"/>
          <w:sz w:val="24"/>
          <w:szCs w:val="24"/>
        </w:rPr>
      </w:pPr>
    </w:p>
    <w:p w14:paraId="65221046" w14:textId="701359CD" w:rsidR="00966542" w:rsidRDefault="005752A3">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Passed</w:t>
      </w:r>
      <w:bookmarkStart w:id="0" w:name="_GoBack"/>
      <w:bookmarkEnd w:id="0"/>
      <w:r>
        <w:rPr>
          <w:rFonts w:ascii="Georgia" w:eastAsia="Georgia" w:hAnsi="Georgia" w:cs="Georgia"/>
          <w:sz w:val="24"/>
          <w:szCs w:val="24"/>
        </w:rPr>
        <w:t xml:space="preserve"> </w:t>
      </w:r>
      <w:r w:rsidR="00523085">
        <w:rPr>
          <w:rFonts w:ascii="Georgia" w:eastAsia="Georgia" w:hAnsi="Georgia" w:cs="Georgia"/>
          <w:sz w:val="24"/>
          <w:szCs w:val="24"/>
        </w:rPr>
        <w:t xml:space="preserve"> </w:t>
      </w:r>
      <w:r w:rsidR="00523085" w:rsidRPr="00523085">
        <w:rPr>
          <w:rFonts w:ascii="Georgia" w:eastAsia="Georgia" w:hAnsi="Georgia" w:cs="Georgia"/>
          <w:sz w:val="24"/>
          <w:szCs w:val="24"/>
          <w:u w:val="single"/>
        </w:rPr>
        <w:t>Yes</w:t>
      </w:r>
      <w:proofErr w:type="gramEnd"/>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66D72C83" w14:textId="77777777" w:rsidR="00966542" w:rsidRDefault="00966542">
      <w:pPr>
        <w:spacing w:after="0"/>
        <w:rPr>
          <w:rFonts w:ascii="Georgia" w:eastAsia="Georgia" w:hAnsi="Georgia" w:cs="Georgia"/>
          <w:sz w:val="24"/>
          <w:szCs w:val="24"/>
        </w:rPr>
      </w:pPr>
    </w:p>
    <w:p w14:paraId="67D38AAF" w14:textId="77777777" w:rsidR="00966542" w:rsidRDefault="005752A3">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397C4766" w14:textId="77777777" w:rsidR="00966542" w:rsidRDefault="005752A3">
      <w:pPr>
        <w:tabs>
          <w:tab w:val="left" w:pos="6930"/>
        </w:tabs>
        <w:spacing w:after="0"/>
        <w:rPr>
          <w:rFonts w:ascii="Georgia" w:eastAsia="Georgia" w:hAnsi="Georgia" w:cs="Georgia"/>
          <w:sz w:val="24"/>
          <w:szCs w:val="24"/>
        </w:rPr>
      </w:pPr>
      <w:r>
        <w:rPr>
          <w:rFonts w:ascii="Georgia" w:eastAsia="Georgia" w:hAnsi="Georgia" w:cs="Georgia"/>
          <w:sz w:val="24"/>
          <w:szCs w:val="24"/>
        </w:rPr>
        <w:t>Colman Betler, ASG Chair of the Senate</w:t>
      </w:r>
      <w:r>
        <w:rPr>
          <w:rFonts w:ascii="Georgia" w:eastAsia="Georgia" w:hAnsi="Georgia" w:cs="Georgia"/>
          <w:sz w:val="24"/>
          <w:szCs w:val="24"/>
        </w:rPr>
        <w:tab/>
        <w:t>Date</w:t>
      </w:r>
    </w:p>
    <w:p w14:paraId="6FCBD624" w14:textId="77777777" w:rsidR="00966542" w:rsidRDefault="00966542">
      <w:pPr>
        <w:spacing w:after="0"/>
        <w:rPr>
          <w:rFonts w:ascii="Georgia" w:eastAsia="Georgia" w:hAnsi="Georgia" w:cs="Georgia"/>
          <w:sz w:val="24"/>
          <w:szCs w:val="24"/>
        </w:rPr>
      </w:pPr>
    </w:p>
    <w:p w14:paraId="79E304DB" w14:textId="77777777" w:rsidR="00966542" w:rsidRDefault="005752A3">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153E476A" w14:textId="77777777" w:rsidR="00966542" w:rsidRDefault="00CD688A" w:rsidP="00CD688A">
      <w:pPr>
        <w:tabs>
          <w:tab w:val="left" w:pos="6930"/>
        </w:tabs>
        <w:spacing w:after="0"/>
        <w:rPr>
          <w:rFonts w:ascii="Georgia" w:eastAsia="Georgia" w:hAnsi="Georgia" w:cs="Georgia"/>
          <w:sz w:val="24"/>
          <w:szCs w:val="24"/>
        </w:rPr>
      </w:pPr>
      <w:bookmarkStart w:id="1" w:name="_gjdgxs" w:colFirst="0" w:colLast="0"/>
      <w:bookmarkEnd w:id="1"/>
      <w:r>
        <w:rPr>
          <w:rFonts w:ascii="Georgia" w:eastAsia="Georgia" w:hAnsi="Georgia" w:cs="Georgia"/>
          <w:sz w:val="24"/>
          <w:szCs w:val="24"/>
        </w:rPr>
        <w:t xml:space="preserve">J.P. </w:t>
      </w:r>
      <w:proofErr w:type="spellStart"/>
      <w:r>
        <w:rPr>
          <w:rFonts w:ascii="Georgia" w:eastAsia="Georgia" w:hAnsi="Georgia" w:cs="Georgia"/>
          <w:sz w:val="24"/>
          <w:szCs w:val="24"/>
        </w:rPr>
        <w:t>Gairhan</w:t>
      </w:r>
      <w:proofErr w:type="spellEnd"/>
      <w:r w:rsidR="005752A3">
        <w:rPr>
          <w:rFonts w:ascii="Georgia" w:eastAsia="Georgia" w:hAnsi="Georgia" w:cs="Georgia"/>
          <w:sz w:val="24"/>
          <w:szCs w:val="24"/>
        </w:rPr>
        <w:t xml:space="preserve">, ASG </w:t>
      </w:r>
      <w:r>
        <w:rPr>
          <w:rFonts w:ascii="Georgia" w:eastAsia="Georgia" w:hAnsi="Georgia" w:cs="Georgia"/>
          <w:sz w:val="24"/>
          <w:szCs w:val="24"/>
        </w:rPr>
        <w:t>President</w:t>
      </w:r>
      <w:r w:rsidR="005752A3">
        <w:rPr>
          <w:rFonts w:ascii="Georgia" w:eastAsia="Georgia" w:hAnsi="Georgia" w:cs="Georgia"/>
          <w:sz w:val="24"/>
          <w:szCs w:val="24"/>
        </w:rPr>
        <w:tab/>
        <w:t>Date</w:t>
      </w:r>
    </w:p>
    <w:p w14:paraId="114658BF" w14:textId="77777777" w:rsidR="00966542" w:rsidRDefault="00966542">
      <w:pPr>
        <w:tabs>
          <w:tab w:val="left" w:pos="6930"/>
        </w:tabs>
        <w:spacing w:after="0"/>
        <w:rPr>
          <w:rFonts w:ascii="Georgia" w:eastAsia="Georgia" w:hAnsi="Georgia" w:cs="Georgia"/>
          <w:sz w:val="24"/>
          <w:szCs w:val="24"/>
        </w:rPr>
      </w:pPr>
      <w:bookmarkStart w:id="2" w:name="_qh4p1797ypl1" w:colFirst="0" w:colLast="0"/>
      <w:bookmarkEnd w:id="2"/>
    </w:p>
    <w:p w14:paraId="52C74372" w14:textId="77777777" w:rsidR="00966542" w:rsidRDefault="00966542">
      <w:pPr>
        <w:tabs>
          <w:tab w:val="left" w:pos="6930"/>
        </w:tabs>
        <w:spacing w:after="0"/>
        <w:rPr>
          <w:rFonts w:ascii="Georgia" w:eastAsia="Georgia" w:hAnsi="Georgia" w:cs="Georgia"/>
          <w:sz w:val="24"/>
          <w:szCs w:val="24"/>
        </w:rPr>
      </w:pPr>
      <w:bookmarkStart w:id="3" w:name="_4z3v93mihkcm" w:colFirst="0" w:colLast="0"/>
      <w:bookmarkEnd w:id="3"/>
    </w:p>
    <w:p w14:paraId="41733EC3" w14:textId="77777777" w:rsidR="00966542" w:rsidRDefault="00966542">
      <w:pPr>
        <w:tabs>
          <w:tab w:val="left" w:pos="6930"/>
        </w:tabs>
        <w:spacing w:after="0"/>
        <w:rPr>
          <w:rFonts w:ascii="Arial" w:eastAsia="Arial" w:hAnsi="Arial" w:cs="Arial"/>
          <w:color w:val="292B2C"/>
          <w:sz w:val="24"/>
          <w:szCs w:val="24"/>
        </w:rPr>
      </w:pPr>
      <w:bookmarkStart w:id="4" w:name="_6yb0ai9mfxej" w:colFirst="0" w:colLast="0"/>
      <w:bookmarkEnd w:id="4"/>
    </w:p>
    <w:p w14:paraId="7D3B8A37" w14:textId="77777777" w:rsidR="00966542" w:rsidRDefault="00966542">
      <w:pPr>
        <w:tabs>
          <w:tab w:val="left" w:pos="6930"/>
        </w:tabs>
        <w:spacing w:after="0"/>
        <w:rPr>
          <w:rFonts w:ascii="Georgia" w:eastAsia="Georgia" w:hAnsi="Georgia" w:cs="Georgia"/>
          <w:sz w:val="24"/>
          <w:szCs w:val="24"/>
        </w:rPr>
      </w:pPr>
      <w:bookmarkStart w:id="5" w:name="_kqz8h29mrnrq" w:colFirst="0" w:colLast="0"/>
      <w:bookmarkEnd w:id="5"/>
    </w:p>
    <w:sectPr w:rsidR="00966542" w:rsidSect="005752A3">
      <w:headerReference w:type="default" r:id="rId7"/>
      <w:footerReference w:type="even" r:id="rId8"/>
      <w:footerReference w:type="default" r:id="rId9"/>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B9AF" w14:textId="77777777" w:rsidR="004E3E96" w:rsidRDefault="004E3E96">
      <w:pPr>
        <w:spacing w:after="0" w:line="240" w:lineRule="auto"/>
      </w:pPr>
      <w:r>
        <w:separator/>
      </w:r>
    </w:p>
  </w:endnote>
  <w:endnote w:type="continuationSeparator" w:id="0">
    <w:p w14:paraId="2CEB1524" w14:textId="77777777" w:rsidR="004E3E96" w:rsidRDefault="004E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26B9" w14:textId="77777777" w:rsidR="00966542" w:rsidRDefault="005752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27F7847" w14:textId="77777777" w:rsidR="00966542" w:rsidRDefault="0096654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D568" w14:textId="77777777" w:rsidR="00966542" w:rsidRDefault="005752A3">
    <w:pPr>
      <w:pBdr>
        <w:top w:val="nil"/>
        <w:left w:val="nil"/>
        <w:bottom w:val="nil"/>
        <w:right w:val="nil"/>
        <w:between w:val="nil"/>
      </w:pBdr>
      <w:tabs>
        <w:tab w:val="center" w:pos="4320"/>
        <w:tab w:val="right" w:pos="8640"/>
      </w:tabs>
      <w:jc w:val="right"/>
      <w:rPr>
        <w:color w:val="00000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523085">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p w14:paraId="71C8B6B1" w14:textId="77777777" w:rsidR="00966542" w:rsidRDefault="0096654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128F7" w14:textId="77777777" w:rsidR="004E3E96" w:rsidRDefault="004E3E96">
      <w:pPr>
        <w:spacing w:after="0" w:line="240" w:lineRule="auto"/>
      </w:pPr>
      <w:r>
        <w:separator/>
      </w:r>
    </w:p>
  </w:footnote>
  <w:footnote w:type="continuationSeparator" w:id="0">
    <w:p w14:paraId="2F0E024A" w14:textId="77777777" w:rsidR="004E3E96" w:rsidRDefault="004E3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128B" w14:textId="77777777" w:rsidR="00966542" w:rsidRDefault="009665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42"/>
    <w:rsid w:val="004E3E96"/>
    <w:rsid w:val="00523085"/>
    <w:rsid w:val="0053267D"/>
    <w:rsid w:val="0053355B"/>
    <w:rsid w:val="005752A3"/>
    <w:rsid w:val="00966542"/>
    <w:rsid w:val="00CB03B4"/>
    <w:rsid w:val="00CD36A5"/>
    <w:rsid w:val="00CD688A"/>
    <w:rsid w:val="00D10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83D6"/>
  <w15:docId w15:val="{DD87D6B1-4B99-402C-B715-F675924C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57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 Chair of Senate, Colman Betler</dc:creator>
  <cp:lastModifiedBy>Cassidy Cook</cp:lastModifiedBy>
  <cp:revision>3</cp:revision>
  <dcterms:created xsi:type="dcterms:W3CDTF">2019-03-12T00:02:00Z</dcterms:created>
  <dcterms:modified xsi:type="dcterms:W3CDTF">2019-03-13T19:48:00Z</dcterms:modified>
</cp:coreProperties>
</file>